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BB00" w14:textId="77777777" w:rsidR="0000176A" w:rsidRDefault="0000176A">
      <w:pPr>
        <w:tabs>
          <w:tab w:val="left" w:pos="7560"/>
        </w:tabs>
        <w:spacing w:after="120" w:line="360" w:lineRule="auto"/>
        <w:jc w:val="both"/>
        <w:rPr>
          <w:rFonts w:ascii="Trebuchet MS" w:eastAsia="Trebuchet MS" w:hAnsi="Trebuchet MS" w:cs="Trebuchet MS"/>
          <w:b/>
          <w:sz w:val="28"/>
          <w:szCs w:val="28"/>
        </w:rPr>
      </w:pPr>
      <w:r>
        <w:rPr>
          <w:rFonts w:ascii="Trebuchet MS" w:eastAsia="Trebuchet MS" w:hAnsi="Trebuchet MS" w:cs="Trebuchet MS"/>
          <w:b/>
          <w:noProof/>
          <w:sz w:val="28"/>
          <w:szCs w:val="28"/>
        </w:rPr>
        <w:drawing>
          <wp:anchor distT="0" distB="0" distL="114300" distR="114300" simplePos="0" relativeHeight="251658240" behindDoc="0" locked="0" layoutInCell="1" allowOverlap="1" wp14:anchorId="34467758" wp14:editId="6E60E765">
            <wp:simplePos x="0" y="0"/>
            <wp:positionH relativeFrom="column">
              <wp:posOffset>-94891</wp:posOffset>
            </wp:positionH>
            <wp:positionV relativeFrom="paragraph">
              <wp:posOffset>-491</wp:posOffset>
            </wp:positionV>
            <wp:extent cx="938530" cy="105219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530" cy="1052195"/>
                    </a:xfrm>
                    <a:prstGeom prst="rect">
                      <a:avLst/>
                    </a:prstGeom>
                  </pic:spPr>
                </pic:pic>
              </a:graphicData>
            </a:graphic>
            <wp14:sizeRelH relativeFrom="page">
              <wp14:pctWidth>0</wp14:pctWidth>
            </wp14:sizeRelH>
            <wp14:sizeRelV relativeFrom="page">
              <wp14:pctHeight>0</wp14:pctHeight>
            </wp14:sizeRelV>
          </wp:anchor>
        </w:drawing>
      </w:r>
    </w:p>
    <w:p w14:paraId="61CE48F1" w14:textId="77777777" w:rsidR="0000176A" w:rsidRDefault="0000176A">
      <w:pPr>
        <w:tabs>
          <w:tab w:val="left" w:pos="7560"/>
        </w:tabs>
        <w:spacing w:after="120" w:line="360" w:lineRule="auto"/>
        <w:jc w:val="both"/>
        <w:rPr>
          <w:rFonts w:ascii="Trebuchet MS" w:eastAsia="Trebuchet MS" w:hAnsi="Trebuchet MS" w:cs="Trebuchet MS"/>
          <w:b/>
          <w:sz w:val="28"/>
          <w:szCs w:val="28"/>
        </w:rPr>
      </w:pPr>
    </w:p>
    <w:p w14:paraId="3C7CA1EF" w14:textId="29EA77E7" w:rsidR="00DF0325" w:rsidRDefault="00027F09">
      <w:pPr>
        <w:tabs>
          <w:tab w:val="left" w:pos="7560"/>
        </w:tabs>
        <w:spacing w:after="120" w:line="360" w:lineRule="auto"/>
        <w:jc w:val="both"/>
        <w:rPr>
          <w:rFonts w:ascii="Trebuchet MS" w:eastAsia="Trebuchet MS" w:hAnsi="Trebuchet MS" w:cs="Trebuchet MS"/>
          <w:b/>
          <w:sz w:val="28"/>
          <w:szCs w:val="28"/>
        </w:rPr>
      </w:pPr>
      <w:r>
        <w:rPr>
          <w:rFonts w:ascii="Trebuchet MS" w:eastAsia="Trebuchet MS" w:hAnsi="Trebuchet MS" w:cs="Trebuchet MS"/>
          <w:b/>
          <w:sz w:val="28"/>
          <w:szCs w:val="28"/>
        </w:rPr>
        <w:t>General Data Protection Regulation</w:t>
      </w:r>
      <w:r w:rsidR="0000176A">
        <w:rPr>
          <w:rFonts w:ascii="Trebuchet MS" w:eastAsia="Trebuchet MS" w:hAnsi="Trebuchet MS" w:cs="Trebuchet MS"/>
          <w:b/>
          <w:sz w:val="28"/>
          <w:szCs w:val="28"/>
        </w:rPr>
        <w:t xml:space="preserve"> (GDPR)</w:t>
      </w:r>
      <w:r>
        <w:rPr>
          <w:rFonts w:ascii="Trebuchet MS" w:eastAsia="Trebuchet MS" w:hAnsi="Trebuchet MS" w:cs="Trebuchet MS"/>
          <w:b/>
          <w:sz w:val="28"/>
          <w:szCs w:val="28"/>
        </w:rPr>
        <w:t xml:space="preserve"> (2018)</w:t>
      </w:r>
    </w:p>
    <w:p w14:paraId="145D1F46" w14:textId="77777777" w:rsidR="00DF0325" w:rsidRDefault="00027F09">
      <w:pPr>
        <w:spacing w:line="360" w:lineRule="auto"/>
        <w:jc w:val="both"/>
        <w:rPr>
          <w:rFonts w:ascii="Trebuchet MS" w:eastAsia="Trebuchet MS" w:hAnsi="Trebuchet MS" w:cs="Trebuchet MS"/>
          <w:b/>
          <w:sz w:val="22"/>
          <w:szCs w:val="22"/>
        </w:rPr>
      </w:pPr>
      <w:bookmarkStart w:id="0" w:name="_gjdgxs" w:colFirst="0" w:colLast="0"/>
      <w:bookmarkEnd w:id="0"/>
      <w:r>
        <w:rPr>
          <w:rFonts w:ascii="Trebuchet MS" w:eastAsia="Trebuchet MS" w:hAnsi="Trebuchet MS" w:cs="Trebuchet MS"/>
          <w:b/>
          <w:sz w:val="22"/>
          <w:szCs w:val="22"/>
        </w:rPr>
        <w:t>Policy statement</w:t>
      </w:r>
    </w:p>
    <w:p w14:paraId="538584EA" w14:textId="0C4B2AC3" w:rsidR="00DF0325" w:rsidRDefault="00027F09">
      <w:pPr>
        <w:pBdr>
          <w:top w:val="nil"/>
          <w:left w:val="nil"/>
          <w:bottom w:val="nil"/>
          <w:right w:val="nil"/>
          <w:between w:val="nil"/>
        </w:pBdr>
        <w:shd w:val="clear" w:color="auto" w:fill="FFFFFF"/>
        <w:spacing w:after="10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General Data Protection Regulation (GDPR) is a new EU law </w:t>
      </w:r>
      <w:r w:rsidR="004459DB">
        <w:rPr>
          <w:rFonts w:ascii="Trebuchet MS" w:eastAsia="Trebuchet MS" w:hAnsi="Trebuchet MS" w:cs="Trebuchet MS"/>
          <w:color w:val="000000"/>
          <w:sz w:val="22"/>
          <w:szCs w:val="22"/>
        </w:rPr>
        <w:t>that came</w:t>
      </w:r>
      <w:r>
        <w:rPr>
          <w:rFonts w:ascii="Trebuchet MS" w:eastAsia="Trebuchet MS" w:hAnsi="Trebuchet MS" w:cs="Trebuchet MS"/>
          <w:color w:val="000000"/>
          <w:sz w:val="22"/>
          <w:szCs w:val="22"/>
        </w:rPr>
        <w:t xml:space="preserve"> into effect on 25</w:t>
      </w:r>
      <w:r>
        <w:rPr>
          <w:rFonts w:ascii="Trebuchet MS" w:eastAsia="Trebuchet MS" w:hAnsi="Trebuchet MS" w:cs="Trebuchet MS"/>
          <w:color w:val="000000"/>
          <w:sz w:val="22"/>
          <w:szCs w:val="22"/>
          <w:vertAlign w:val="superscript"/>
        </w:rPr>
        <w:t>th</w:t>
      </w:r>
      <w:r>
        <w:rPr>
          <w:rFonts w:ascii="Trebuchet MS" w:eastAsia="Trebuchet MS" w:hAnsi="Trebuchet MS" w:cs="Trebuchet MS"/>
          <w:color w:val="000000"/>
          <w:sz w:val="22"/>
          <w:szCs w:val="22"/>
        </w:rPr>
        <w:t xml:space="preserve"> May 2018 replacing the current Data Protection Act 1998. It will give individuals greater control over their own personal data. As a </w:t>
      </w:r>
      <w:r w:rsidR="0000176A">
        <w:rPr>
          <w:rFonts w:ascii="Trebuchet MS" w:eastAsia="Trebuchet MS" w:hAnsi="Trebuchet MS" w:cs="Trebuchet MS"/>
          <w:color w:val="000000"/>
          <w:sz w:val="22"/>
          <w:szCs w:val="22"/>
        </w:rPr>
        <w:t>setting</w:t>
      </w:r>
      <w:r>
        <w:rPr>
          <w:rFonts w:ascii="Trebuchet MS" w:eastAsia="Trebuchet MS" w:hAnsi="Trebuchet MS" w:cs="Trebuchet MS"/>
          <w:color w:val="000000"/>
          <w:sz w:val="22"/>
          <w:szCs w:val="22"/>
        </w:rPr>
        <w:t xml:space="preserve"> it is necessary for us to collect personal information about the children who attend as well as staff and parents/carers. </w:t>
      </w:r>
    </w:p>
    <w:p w14:paraId="4448DF99" w14:textId="77777777" w:rsidR="00DF0325" w:rsidRDefault="00027F09">
      <w:pPr>
        <w:spacing w:line="360" w:lineRule="auto"/>
        <w:jc w:val="both"/>
        <w:rPr>
          <w:rFonts w:ascii="Trebuchet MS" w:eastAsia="Trebuchet MS" w:hAnsi="Trebuchet MS" w:cs="Trebuchet MS"/>
          <w:b/>
          <w:sz w:val="22"/>
          <w:szCs w:val="22"/>
        </w:rPr>
      </w:pPr>
      <w:r>
        <w:rPr>
          <w:rFonts w:ascii="Trebuchet MS" w:eastAsia="Trebuchet MS" w:hAnsi="Trebuchet MS" w:cs="Trebuchet MS"/>
          <w:b/>
          <w:sz w:val="22"/>
          <w:szCs w:val="22"/>
        </w:rPr>
        <w:t>GDPR principle</w:t>
      </w:r>
    </w:p>
    <w:p w14:paraId="3AB6BB36" w14:textId="77777777" w:rsidR="00DF0325" w:rsidRDefault="00027F09">
      <w:pPr>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GDPR condenses the Data Protection Principles into six areas, which are referred to as the Privacy Principles. They are:</w:t>
      </w:r>
    </w:p>
    <w:p w14:paraId="0F38DD2A" w14:textId="77777777" w:rsidR="00DF0325" w:rsidRDefault="00027F09">
      <w:pPr>
        <w:numPr>
          <w:ilvl w:val="0"/>
          <w:numId w:val="5"/>
        </w:numPr>
        <w:pBdr>
          <w:top w:val="nil"/>
          <w:left w:val="nil"/>
          <w:bottom w:val="nil"/>
          <w:right w:val="nil"/>
          <w:between w:val="nil"/>
        </w:pBdr>
        <w:spacing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must have a lawful reason for collecting personal data and must do it in a fair and transparent way.</w:t>
      </w:r>
    </w:p>
    <w:p w14:paraId="13893FDE" w14:textId="77777777" w:rsidR="00DF0325" w:rsidRDefault="00027F09">
      <w:pPr>
        <w:numPr>
          <w:ilvl w:val="0"/>
          <w:numId w:val="5"/>
        </w:numPr>
        <w:pBdr>
          <w:top w:val="nil"/>
          <w:left w:val="nil"/>
          <w:bottom w:val="nil"/>
          <w:right w:val="nil"/>
          <w:between w:val="nil"/>
        </w:pBdr>
        <w:spacing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must only use the data for the reason it is initially obtained.</w:t>
      </w:r>
    </w:p>
    <w:p w14:paraId="1363F68D" w14:textId="77777777" w:rsidR="00DF0325" w:rsidRDefault="00027F09">
      <w:pPr>
        <w:numPr>
          <w:ilvl w:val="0"/>
          <w:numId w:val="5"/>
        </w:numPr>
        <w:pBdr>
          <w:top w:val="nil"/>
          <w:left w:val="nil"/>
          <w:bottom w:val="nil"/>
          <w:right w:val="nil"/>
          <w:between w:val="nil"/>
        </w:pBdr>
        <w:spacing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must not collect any more data than is necessary.</w:t>
      </w:r>
    </w:p>
    <w:p w14:paraId="7CF63CF6" w14:textId="77777777" w:rsidR="00DF0325" w:rsidRDefault="00027F09">
      <w:pPr>
        <w:numPr>
          <w:ilvl w:val="0"/>
          <w:numId w:val="5"/>
        </w:numPr>
        <w:pBdr>
          <w:top w:val="nil"/>
          <w:left w:val="nil"/>
          <w:bottom w:val="nil"/>
          <w:right w:val="nil"/>
          <w:between w:val="nil"/>
        </w:pBdr>
        <w:spacing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It has to be accurate and there must be mechanisms in place to keep it up to date.</w:t>
      </w:r>
    </w:p>
    <w:p w14:paraId="0D8D9CFC" w14:textId="77777777" w:rsidR="00DF0325" w:rsidRDefault="00027F09">
      <w:pPr>
        <w:numPr>
          <w:ilvl w:val="0"/>
          <w:numId w:val="5"/>
        </w:numPr>
        <w:pBdr>
          <w:top w:val="nil"/>
          <w:left w:val="nil"/>
          <w:bottom w:val="nil"/>
          <w:right w:val="nil"/>
          <w:between w:val="nil"/>
        </w:pBdr>
        <w:spacing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cannot keep it any longer than needed.</w:t>
      </w:r>
    </w:p>
    <w:p w14:paraId="0CCC2D84" w14:textId="77777777" w:rsidR="00DF0325" w:rsidRDefault="00027F09">
      <w:pPr>
        <w:numPr>
          <w:ilvl w:val="0"/>
          <w:numId w:val="5"/>
        </w:numPr>
        <w:pBdr>
          <w:top w:val="nil"/>
          <w:left w:val="nil"/>
          <w:bottom w:val="nil"/>
          <w:right w:val="nil"/>
          <w:between w:val="nil"/>
        </w:pBdr>
        <w:spacing w:after="160" w:line="360" w:lineRule="auto"/>
        <w:contextualSpacing/>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You must protect the personal data.</w:t>
      </w:r>
    </w:p>
    <w:p w14:paraId="0FFADCC0" w14:textId="77777777" w:rsidR="00DF0325" w:rsidRDefault="00027F09">
      <w:pPr>
        <w:pBdr>
          <w:top w:val="nil"/>
          <w:left w:val="nil"/>
          <w:bottom w:val="nil"/>
          <w:right w:val="nil"/>
          <w:between w:val="nil"/>
        </w:pBdr>
        <w:shd w:val="clear" w:color="auto" w:fill="FFFFFF"/>
        <w:spacing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GDPR provides the following rights for individuals:</w:t>
      </w:r>
    </w:p>
    <w:p w14:paraId="25F36348"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be informed.</w:t>
      </w:r>
    </w:p>
    <w:p w14:paraId="0534771C"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of access.</w:t>
      </w:r>
    </w:p>
    <w:p w14:paraId="48CA1841"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rectification.</w:t>
      </w:r>
    </w:p>
    <w:p w14:paraId="0C116077"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erase.</w:t>
      </w:r>
    </w:p>
    <w:p w14:paraId="11AE6975"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restrict processing.</w:t>
      </w:r>
    </w:p>
    <w:p w14:paraId="6B107821"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data portability.</w:t>
      </w:r>
    </w:p>
    <w:p w14:paraId="71DD86E4"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The right to object.</w:t>
      </w:r>
    </w:p>
    <w:p w14:paraId="5A8CD13D" w14:textId="77777777" w:rsidR="00DF0325" w:rsidRDefault="00027F09">
      <w:pPr>
        <w:numPr>
          <w:ilvl w:val="0"/>
          <w:numId w:val="2"/>
        </w:numPr>
        <w:pBdr>
          <w:top w:val="nil"/>
          <w:left w:val="nil"/>
          <w:bottom w:val="nil"/>
          <w:right w:val="nil"/>
          <w:between w:val="nil"/>
        </w:pBdr>
        <w:shd w:val="clear" w:color="auto" w:fill="FFFFFF"/>
        <w:spacing w:after="100" w:line="360" w:lineRule="auto"/>
        <w:jc w:val="both"/>
        <w:rPr>
          <w:color w:val="000000"/>
        </w:rPr>
      </w:pPr>
      <w:r>
        <w:rPr>
          <w:rFonts w:ascii="Trebuchet MS" w:eastAsia="Trebuchet MS" w:hAnsi="Trebuchet MS" w:cs="Trebuchet MS"/>
          <w:color w:val="000000"/>
          <w:sz w:val="22"/>
          <w:szCs w:val="22"/>
        </w:rPr>
        <w:t>Rights in relation to automated decision-making and profiling.</w:t>
      </w:r>
    </w:p>
    <w:p w14:paraId="6743E71A" w14:textId="77777777" w:rsidR="00DF0325" w:rsidRDefault="00027F09">
      <w:pPr>
        <w:pBdr>
          <w:top w:val="nil"/>
          <w:left w:val="nil"/>
          <w:bottom w:val="nil"/>
          <w:right w:val="nil"/>
          <w:between w:val="nil"/>
        </w:pBdr>
        <w:shd w:val="clear" w:color="auto" w:fill="FFFFFF"/>
        <w:spacing w:after="12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There are two main roles under the GDPR; the data controller and the data processor. As a childcare provider, we are the data controller. The data is our data that we have collected about the children and their families. We have contracts with other companies to process data, which makes them the data processor. The two roles have some differences but the principles of GDPR apply to both. We have a responsibility to ensure that other companies we work with are also GDPR compliant.</w:t>
      </w:r>
    </w:p>
    <w:p w14:paraId="3305B766" w14:textId="77777777" w:rsidR="00DF0325" w:rsidRDefault="00027F09">
      <w:pPr>
        <w:pBdr>
          <w:top w:val="nil"/>
          <w:left w:val="nil"/>
          <w:bottom w:val="nil"/>
          <w:right w:val="nil"/>
          <w:between w:val="nil"/>
        </w:pBdr>
        <w:shd w:val="clear" w:color="auto" w:fill="FFFFFF"/>
        <w:spacing w:line="360" w:lineRule="auto"/>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Lawful basis for processing personal data</w:t>
      </w:r>
    </w:p>
    <w:p w14:paraId="7D598D8E" w14:textId="77777777" w:rsidR="00DF0325" w:rsidRDefault="00027F09">
      <w:pPr>
        <w:pBdr>
          <w:top w:val="nil"/>
          <w:left w:val="nil"/>
          <w:bottom w:val="nil"/>
          <w:right w:val="nil"/>
          <w:between w:val="nil"/>
        </w:pBdr>
        <w:shd w:val="clear" w:color="auto" w:fill="FFFFFF"/>
        <w:spacing w:after="10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must have a lawful basis for processing all personal data within our organisation and this is recorded on our Information Asset Register (appendix i) for all the different information we collect. The six reasons are set out in Article 6 of the GDPR as follows:</w:t>
      </w:r>
    </w:p>
    <w:p w14:paraId="6F98880E"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lastRenderedPageBreak/>
        <w:t>(a) Consent: </w:t>
      </w:r>
      <w:r>
        <w:rPr>
          <w:rFonts w:ascii="Trebuchet MS" w:eastAsia="Trebuchet MS" w:hAnsi="Trebuchet MS" w:cs="Trebuchet MS"/>
          <w:color w:val="000000"/>
          <w:sz w:val="22"/>
          <w:szCs w:val="22"/>
        </w:rPr>
        <w:t>the individual has given clear consent for you to process their personal data for a specific purpose.</w:t>
      </w:r>
    </w:p>
    <w:p w14:paraId="49A86A83"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(b) Contract: </w:t>
      </w:r>
      <w:r>
        <w:rPr>
          <w:rFonts w:ascii="Trebuchet MS" w:eastAsia="Trebuchet MS" w:hAnsi="Trebuchet MS" w:cs="Trebuchet MS"/>
          <w:color w:val="000000"/>
          <w:sz w:val="22"/>
          <w:szCs w:val="22"/>
        </w:rPr>
        <w:t>the processing is necessary for a contract you have with the individual, or because they have asked you to take specific steps before entering into a contract.</w:t>
      </w:r>
    </w:p>
    <w:p w14:paraId="5D0AECF1"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(c) Legal obligation: </w:t>
      </w:r>
      <w:r>
        <w:rPr>
          <w:rFonts w:ascii="Trebuchet MS" w:eastAsia="Trebuchet MS" w:hAnsi="Trebuchet MS" w:cs="Trebuchet MS"/>
          <w:color w:val="000000"/>
          <w:sz w:val="22"/>
          <w:szCs w:val="22"/>
        </w:rPr>
        <w:t>the processing is necessary for you to comply with the law (not including contractual obligations).</w:t>
      </w:r>
    </w:p>
    <w:p w14:paraId="0730D317"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(d) Vital interests: </w:t>
      </w:r>
      <w:r>
        <w:rPr>
          <w:rFonts w:ascii="Trebuchet MS" w:eastAsia="Trebuchet MS" w:hAnsi="Trebuchet MS" w:cs="Trebuchet MS"/>
          <w:color w:val="000000"/>
          <w:sz w:val="22"/>
          <w:szCs w:val="22"/>
        </w:rPr>
        <w:t>the processing is necessary to protect someone’s life.</w:t>
      </w:r>
    </w:p>
    <w:p w14:paraId="771EBE4B"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(e) Public task: </w:t>
      </w:r>
      <w:r>
        <w:rPr>
          <w:rFonts w:ascii="Trebuchet MS" w:eastAsia="Trebuchet MS" w:hAnsi="Trebuchet MS" w:cs="Trebuchet MS"/>
          <w:color w:val="000000"/>
          <w:sz w:val="22"/>
          <w:szCs w:val="22"/>
        </w:rPr>
        <w:t>the processing is necessary for you to perform a task in the public interest or for your official functions, and the task or function has a clear basis in law.</w:t>
      </w:r>
    </w:p>
    <w:p w14:paraId="71773223" w14:textId="77777777" w:rsidR="00DF0325" w:rsidRDefault="00027F09">
      <w:pPr>
        <w:pBdr>
          <w:top w:val="nil"/>
          <w:left w:val="nil"/>
          <w:bottom w:val="nil"/>
          <w:right w:val="nil"/>
          <w:between w:val="nil"/>
        </w:pBdr>
        <w:shd w:val="clear" w:color="auto" w:fill="FFFFFF"/>
        <w:spacing w:after="120" w:line="360" w:lineRule="auto"/>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(f) Legitimate interests: </w:t>
      </w:r>
      <w:r>
        <w:rPr>
          <w:rFonts w:ascii="Trebuchet MS" w:eastAsia="Trebuchet MS" w:hAnsi="Trebuchet MS" w:cs="Trebuchet MS"/>
          <w:color w:val="000000"/>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04CB6254" w14:textId="77777777" w:rsidR="00DF0325" w:rsidRDefault="00027F09">
      <w:pPr>
        <w:pBdr>
          <w:top w:val="nil"/>
          <w:left w:val="nil"/>
          <w:bottom w:val="nil"/>
          <w:right w:val="nil"/>
          <w:between w:val="nil"/>
        </w:pBdr>
        <w:shd w:val="clear" w:color="auto" w:fill="FFFFFF"/>
        <w:spacing w:after="12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For the majority of data we collect, the lawful basis for doing so falls under the category of ‘legal obligation’ such as names, date of birth and addresses as we have a legal requirement to obtain this data as part of the Statutory Framework for the Early Years Foundation Stage.  Some data we collect, for example, photographs, requires parents to give consent for us to do so. Where this is the case, parents will be required to sign a consent form to ‘opt in’ and are made aware that they have the right to withdraw their consent at any time. </w:t>
      </w:r>
    </w:p>
    <w:p w14:paraId="0987DC81" w14:textId="77777777" w:rsidR="00DF0325" w:rsidRDefault="00027F09">
      <w:pPr>
        <w:pBdr>
          <w:top w:val="nil"/>
          <w:left w:val="nil"/>
          <w:bottom w:val="nil"/>
          <w:right w:val="nil"/>
          <w:between w:val="nil"/>
        </w:pBdr>
        <w:shd w:val="clear" w:color="auto" w:fill="FFFFFF"/>
        <w:spacing w:after="12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 may also be required to collect data as part of parent’s contract with the setting or local authority, for example, in order for us to claim government funding.</w:t>
      </w:r>
    </w:p>
    <w:p w14:paraId="3C22E5E1" w14:textId="77777777" w:rsidR="00DF0325" w:rsidRDefault="00027F09">
      <w:pPr>
        <w:spacing w:line="360" w:lineRule="auto"/>
        <w:jc w:val="both"/>
        <w:rPr>
          <w:rFonts w:ascii="Trebuchet MS" w:eastAsia="Trebuchet MS" w:hAnsi="Trebuchet MS" w:cs="Trebuchet MS"/>
          <w:b/>
          <w:sz w:val="22"/>
          <w:szCs w:val="22"/>
        </w:rPr>
      </w:pPr>
      <w:r>
        <w:rPr>
          <w:rFonts w:ascii="Trebuchet MS" w:eastAsia="Trebuchet MS" w:hAnsi="Trebuchet MS" w:cs="Trebuchet MS"/>
          <w:b/>
          <w:sz w:val="22"/>
          <w:szCs w:val="22"/>
        </w:rPr>
        <w:t>Data retention</w:t>
      </w:r>
    </w:p>
    <w:p w14:paraId="21D9B83D" w14:textId="77777777" w:rsidR="00DF0325" w:rsidRDefault="00027F09">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We will hold information about individuals only for as long as the law says and no longer than necessary. After this, we will dispose of it securely. Please see appendix i. (Information Asset Register) for more information on retention periods for individual documents.</w:t>
      </w:r>
    </w:p>
    <w:p w14:paraId="387DCB49" w14:textId="77777777" w:rsidR="00DF0325" w:rsidRDefault="00027F09">
      <w:pPr>
        <w:spacing w:line="360" w:lineRule="auto"/>
        <w:jc w:val="both"/>
        <w:rPr>
          <w:rFonts w:ascii="Trebuchet MS" w:eastAsia="Trebuchet MS" w:hAnsi="Trebuchet MS" w:cs="Trebuchet MS"/>
          <w:b/>
          <w:sz w:val="22"/>
          <w:szCs w:val="22"/>
        </w:rPr>
      </w:pPr>
      <w:r>
        <w:rPr>
          <w:rFonts w:ascii="Trebuchet MS" w:eastAsia="Trebuchet MS" w:hAnsi="Trebuchet MS" w:cs="Trebuchet MS"/>
          <w:b/>
          <w:sz w:val="22"/>
          <w:szCs w:val="22"/>
        </w:rPr>
        <w:t>Security</w:t>
      </w:r>
    </w:p>
    <w:p w14:paraId="4CEC822A" w14:textId="77777777" w:rsidR="00DF0325" w:rsidRDefault="00027F09">
      <w:pPr>
        <w:spacing w:after="120" w:line="360" w:lineRule="auto"/>
        <w:jc w:val="both"/>
        <w:rPr>
          <w:rFonts w:ascii="Trebuchet MS" w:eastAsia="Trebuchet MS" w:hAnsi="Trebuchet MS" w:cs="Trebuchet MS"/>
          <w:sz w:val="22"/>
          <w:szCs w:val="22"/>
        </w:rPr>
      </w:pPr>
      <w:bookmarkStart w:id="1" w:name="_30j0zll" w:colFirst="0" w:colLast="0"/>
      <w:bookmarkEnd w:id="1"/>
      <w:r>
        <w:rPr>
          <w:rFonts w:ascii="Trebuchet MS" w:eastAsia="Trebuchet MS" w:hAnsi="Trebuchet MS" w:cs="Trebuchet MS"/>
          <w:sz w:val="22"/>
          <w:szCs w:val="22"/>
        </w:rPr>
        <w:t xml:space="preserve">We keep data about all individuals secure and aim to protect data against unauthorised change, damage, loss or theft. All data collected is only accessed by authorised individuals. All paper forms are kept locked away and all computers and tablets are password protected. </w:t>
      </w:r>
    </w:p>
    <w:p w14:paraId="284A6C83" w14:textId="77777777" w:rsidR="00DF0325" w:rsidRDefault="00027F09">
      <w:pPr>
        <w:spacing w:line="360" w:lineRule="auto"/>
        <w:jc w:val="both"/>
        <w:rPr>
          <w:rFonts w:ascii="Trebuchet MS" w:eastAsia="Trebuchet MS" w:hAnsi="Trebuchet MS" w:cs="Trebuchet MS"/>
          <w:sz w:val="22"/>
          <w:szCs w:val="22"/>
        </w:rPr>
      </w:pPr>
      <w:r>
        <w:rPr>
          <w:rFonts w:ascii="Trebuchet MS" w:eastAsia="Trebuchet MS" w:hAnsi="Trebuchet MS" w:cs="Trebuchet MS"/>
          <w:b/>
          <w:sz w:val="22"/>
          <w:szCs w:val="22"/>
        </w:rPr>
        <w:t>Privacy notices (appendix ii. and iii.)</w:t>
      </w:r>
    </w:p>
    <w:p w14:paraId="4A319C9B" w14:textId="77777777" w:rsidR="00DF0325" w:rsidRDefault="00027F09">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All parents and staff are provided with privacy notices which inform them of our procedures around how and why we collect data, information sharing, security, data retention, access to their records and our commitment to compliance with the GDPR act.</w:t>
      </w:r>
    </w:p>
    <w:p w14:paraId="6C51B6EE" w14:textId="77777777" w:rsidR="00DF0325" w:rsidRDefault="00027F09">
      <w:pPr>
        <w:pBdr>
          <w:top w:val="nil"/>
          <w:left w:val="nil"/>
          <w:bottom w:val="nil"/>
          <w:right w:val="nil"/>
          <w:between w:val="nil"/>
        </w:pBdr>
        <w:shd w:val="clear" w:color="auto" w:fill="FFFFFF"/>
        <w:spacing w:line="360" w:lineRule="auto"/>
        <w:jc w:val="both"/>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Ensuring compliance</w:t>
      </w:r>
    </w:p>
    <w:p w14:paraId="15E3B363" w14:textId="767ABCC0" w:rsidR="00DF0325" w:rsidRDefault="00027F09">
      <w:pPr>
        <w:pBdr>
          <w:top w:val="nil"/>
          <w:left w:val="nil"/>
          <w:bottom w:val="nil"/>
          <w:right w:val="nil"/>
          <w:between w:val="nil"/>
        </w:pBdr>
        <w:shd w:val="clear" w:color="auto" w:fill="FFFFFF"/>
        <w:spacing w:after="12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member of staff responsible for ensuring that the setting is compliant is </w:t>
      </w:r>
      <w:r>
        <w:rPr>
          <w:rFonts w:ascii="Trebuchet MS" w:eastAsia="Trebuchet MS" w:hAnsi="Trebuchet MS" w:cs="Trebuchet MS"/>
          <w:color w:val="000000"/>
          <w:sz w:val="22"/>
          <w:szCs w:val="22"/>
          <w:u w:val="single"/>
        </w:rPr>
        <w:t>Michelle Josephs</w:t>
      </w:r>
      <w:r>
        <w:rPr>
          <w:rFonts w:ascii="Trebuchet MS" w:eastAsia="Trebuchet MS" w:hAnsi="Trebuchet MS" w:cs="Trebuchet MS"/>
          <w:color w:val="000000"/>
          <w:sz w:val="22"/>
          <w:szCs w:val="22"/>
        </w:rPr>
        <w:t xml:space="preserve"> (Company Owner). Their main duties are:</w:t>
      </w:r>
    </w:p>
    <w:p w14:paraId="5B65983B" w14:textId="77777777" w:rsidR="00DF0325" w:rsidRDefault="00027F09">
      <w:pPr>
        <w:numPr>
          <w:ilvl w:val="0"/>
          <w:numId w:val="1"/>
        </w:numPr>
        <w:shd w:val="clear" w:color="auto" w:fill="FFFFFF"/>
        <w:spacing w:after="280" w:line="360" w:lineRule="auto"/>
      </w:pPr>
      <w:r>
        <w:rPr>
          <w:rFonts w:ascii="Trebuchet MS" w:eastAsia="Trebuchet MS" w:hAnsi="Trebuchet MS" w:cs="Trebuchet MS"/>
          <w:sz w:val="22"/>
          <w:szCs w:val="22"/>
        </w:rPr>
        <w:t>Ensure that the provision is compliant with GDPR.</w:t>
      </w:r>
    </w:p>
    <w:p w14:paraId="638E0345" w14:textId="77777777" w:rsidR="00DF0325" w:rsidRDefault="00027F09">
      <w:pPr>
        <w:numPr>
          <w:ilvl w:val="0"/>
          <w:numId w:val="1"/>
        </w:numPr>
        <w:shd w:val="clear" w:color="auto" w:fill="FFFFFF"/>
        <w:spacing w:after="280" w:line="360" w:lineRule="auto"/>
      </w:pPr>
      <w:r>
        <w:rPr>
          <w:rFonts w:ascii="Trebuchet MS" w:eastAsia="Trebuchet MS" w:hAnsi="Trebuchet MS" w:cs="Trebuchet MS"/>
          <w:sz w:val="22"/>
          <w:szCs w:val="22"/>
        </w:rPr>
        <w:lastRenderedPageBreak/>
        <w:t>Audit all personal data held.</w:t>
      </w:r>
    </w:p>
    <w:p w14:paraId="5A206739" w14:textId="77777777" w:rsidR="00DF0325" w:rsidRDefault="00027F09">
      <w:pPr>
        <w:numPr>
          <w:ilvl w:val="0"/>
          <w:numId w:val="1"/>
        </w:numPr>
        <w:shd w:val="clear" w:color="auto" w:fill="FFFFFF"/>
        <w:spacing w:after="280" w:line="360" w:lineRule="auto"/>
      </w:pPr>
      <w:r>
        <w:rPr>
          <w:rFonts w:ascii="Trebuchet MS" w:eastAsia="Trebuchet MS" w:hAnsi="Trebuchet MS" w:cs="Trebuchet MS"/>
          <w:sz w:val="22"/>
          <w:szCs w:val="22"/>
        </w:rPr>
        <w:t>Establish an Information Asset Register and maintain it.</w:t>
      </w:r>
    </w:p>
    <w:p w14:paraId="2824EAE6" w14:textId="77777777" w:rsidR="00DF0325" w:rsidRDefault="00027F09">
      <w:pPr>
        <w:numPr>
          <w:ilvl w:val="0"/>
          <w:numId w:val="1"/>
        </w:numPr>
        <w:shd w:val="clear" w:color="auto" w:fill="FFFFFF"/>
        <w:spacing w:after="280" w:line="360" w:lineRule="auto"/>
      </w:pPr>
      <w:r>
        <w:rPr>
          <w:rFonts w:ascii="Trebuchet MS" w:eastAsia="Trebuchet MS" w:hAnsi="Trebuchet MS" w:cs="Trebuchet MS"/>
          <w:sz w:val="22"/>
          <w:szCs w:val="22"/>
        </w:rPr>
        <w:t>Ensure all staff are aware of their responsibilities under the law, this may include delivering staff training.</w:t>
      </w:r>
    </w:p>
    <w:p w14:paraId="2B543054" w14:textId="77777777" w:rsidR="00DF0325" w:rsidRDefault="00027F09">
      <w:pPr>
        <w:numPr>
          <w:ilvl w:val="0"/>
          <w:numId w:val="1"/>
        </w:numPr>
        <w:shd w:val="clear" w:color="auto" w:fill="FFFFFF"/>
        <w:spacing w:after="280" w:line="360" w:lineRule="auto"/>
      </w:pPr>
      <w:r>
        <w:rPr>
          <w:rFonts w:ascii="Trebuchet MS" w:eastAsia="Trebuchet MS" w:hAnsi="Trebuchet MS" w:cs="Trebuchet MS"/>
          <w:sz w:val="22"/>
          <w:szCs w:val="22"/>
        </w:rPr>
        <w:t>Undertake investigations when there is a breach of personal data and report to the ICO.</w:t>
      </w:r>
    </w:p>
    <w:p w14:paraId="57CED7E3" w14:textId="77777777" w:rsidR="00DF0325" w:rsidRDefault="00027F09">
      <w:pPr>
        <w:numPr>
          <w:ilvl w:val="0"/>
          <w:numId w:val="1"/>
        </w:numPr>
        <w:shd w:val="clear" w:color="auto" w:fill="FFFFFF"/>
        <w:spacing w:after="120" w:line="360" w:lineRule="auto"/>
      </w:pPr>
      <w:r>
        <w:rPr>
          <w:rFonts w:ascii="Trebuchet MS" w:eastAsia="Trebuchet MS" w:hAnsi="Trebuchet MS" w:cs="Trebuchet MS"/>
          <w:sz w:val="22"/>
          <w:szCs w:val="22"/>
        </w:rPr>
        <w:t>Keep up to date with the legislation.</w:t>
      </w:r>
    </w:p>
    <w:p w14:paraId="353D0358" w14:textId="77777777" w:rsidR="00DF0325" w:rsidRDefault="00027F09">
      <w:pPr>
        <w:shd w:val="clear" w:color="auto" w:fill="FFFFFF"/>
        <w:spacing w:after="120" w:line="360" w:lineRule="auto"/>
        <w:rPr>
          <w:rFonts w:ascii="Trebuchet MS" w:eastAsia="Trebuchet MS" w:hAnsi="Trebuchet MS" w:cs="Trebuchet MS"/>
          <w:sz w:val="22"/>
          <w:szCs w:val="22"/>
        </w:rPr>
      </w:pPr>
      <w:r>
        <w:rPr>
          <w:rFonts w:ascii="Trebuchet MS" w:eastAsia="Trebuchet MS" w:hAnsi="Trebuchet MS" w:cs="Trebuchet MS"/>
          <w:sz w:val="22"/>
          <w:szCs w:val="22"/>
        </w:rPr>
        <w:t>The setting is also registered with the Information Commissioners Office and the certificate can be viewed in the office.</w:t>
      </w:r>
    </w:p>
    <w:p w14:paraId="00B625AF" w14:textId="77777777" w:rsidR="00DF0325" w:rsidRDefault="00027F09">
      <w:pPr>
        <w:shd w:val="clear" w:color="auto" w:fill="FFFFFF"/>
        <w:spacing w:line="360" w:lineRule="auto"/>
        <w:rPr>
          <w:rFonts w:ascii="Trebuchet MS" w:eastAsia="Trebuchet MS" w:hAnsi="Trebuchet MS" w:cs="Trebuchet MS"/>
          <w:b/>
          <w:sz w:val="22"/>
          <w:szCs w:val="22"/>
        </w:rPr>
      </w:pPr>
      <w:r>
        <w:rPr>
          <w:rFonts w:ascii="Trebuchet MS" w:eastAsia="Trebuchet MS" w:hAnsi="Trebuchet MS" w:cs="Trebuchet MS"/>
          <w:b/>
          <w:sz w:val="22"/>
          <w:szCs w:val="22"/>
        </w:rPr>
        <w:t>Data breach</w:t>
      </w:r>
    </w:p>
    <w:p w14:paraId="66D04E76" w14:textId="77777777" w:rsidR="00DF0325" w:rsidRDefault="00027F09">
      <w:pPr>
        <w:pBdr>
          <w:top w:val="nil"/>
          <w:left w:val="nil"/>
          <w:bottom w:val="nil"/>
          <w:right w:val="nil"/>
          <w:between w:val="nil"/>
        </w:pBdr>
        <w:shd w:val="clear" w:color="auto" w:fill="FFFFFF"/>
        <w:spacing w:after="120" w:line="360" w:lineRule="auto"/>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 Recital 87 of the GDPR makes clear that when a security incident takes place, we must quickly establish whether a personal data breach has occurred and, if so, promptly take steps to address it, including telling the ICO if required.</w:t>
      </w:r>
    </w:p>
    <w:p w14:paraId="605F054B" w14:textId="77777777" w:rsidR="00DF0325" w:rsidRDefault="00027F09">
      <w:pPr>
        <w:pBdr>
          <w:top w:val="nil"/>
          <w:left w:val="nil"/>
          <w:bottom w:val="nil"/>
          <w:right w:val="nil"/>
          <w:between w:val="nil"/>
        </w:pBdr>
        <w:shd w:val="clear" w:color="auto" w:fill="FFFFFF"/>
        <w:spacing w:line="360"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Personal data breaches can include:</w:t>
      </w:r>
    </w:p>
    <w:p w14:paraId="385B004A" w14:textId="77777777" w:rsidR="00DF0325" w:rsidRDefault="00027F09">
      <w:pPr>
        <w:numPr>
          <w:ilvl w:val="0"/>
          <w:numId w:val="4"/>
        </w:numPr>
        <w:pBdr>
          <w:top w:val="nil"/>
          <w:left w:val="nil"/>
          <w:bottom w:val="nil"/>
          <w:right w:val="nil"/>
          <w:between w:val="nil"/>
        </w:pBdr>
        <w:spacing w:line="360" w:lineRule="auto"/>
        <w:contextualSpacing/>
        <w:rPr>
          <w:color w:val="000000"/>
          <w:sz w:val="22"/>
          <w:szCs w:val="22"/>
        </w:rPr>
      </w:pPr>
      <w:r>
        <w:rPr>
          <w:rFonts w:ascii="Trebuchet MS" w:eastAsia="Trebuchet MS" w:hAnsi="Trebuchet MS" w:cs="Trebuchet MS"/>
          <w:color w:val="000000"/>
          <w:sz w:val="22"/>
          <w:szCs w:val="22"/>
        </w:rPr>
        <w:t>access by an unauthorised third party;</w:t>
      </w:r>
    </w:p>
    <w:p w14:paraId="1626DBE5" w14:textId="77777777" w:rsidR="00DF0325" w:rsidRDefault="00027F09">
      <w:pPr>
        <w:numPr>
          <w:ilvl w:val="0"/>
          <w:numId w:val="4"/>
        </w:numPr>
        <w:pBdr>
          <w:top w:val="nil"/>
          <w:left w:val="nil"/>
          <w:bottom w:val="nil"/>
          <w:right w:val="nil"/>
          <w:between w:val="nil"/>
        </w:pBdr>
        <w:spacing w:line="360" w:lineRule="auto"/>
        <w:contextualSpacing/>
        <w:rPr>
          <w:color w:val="000000"/>
          <w:sz w:val="22"/>
          <w:szCs w:val="22"/>
        </w:rPr>
      </w:pPr>
      <w:r>
        <w:rPr>
          <w:rFonts w:ascii="Trebuchet MS" w:eastAsia="Trebuchet MS" w:hAnsi="Trebuchet MS" w:cs="Trebuchet MS"/>
          <w:color w:val="000000"/>
          <w:sz w:val="22"/>
          <w:szCs w:val="22"/>
        </w:rPr>
        <w:t>deliberate or accidental action (or inaction) by a controller or processor;</w:t>
      </w:r>
    </w:p>
    <w:p w14:paraId="6BCE9ED4" w14:textId="77777777" w:rsidR="00DF0325" w:rsidRDefault="00027F09">
      <w:pPr>
        <w:numPr>
          <w:ilvl w:val="0"/>
          <w:numId w:val="4"/>
        </w:numPr>
        <w:pBdr>
          <w:top w:val="nil"/>
          <w:left w:val="nil"/>
          <w:bottom w:val="nil"/>
          <w:right w:val="nil"/>
          <w:between w:val="nil"/>
        </w:pBdr>
        <w:spacing w:line="360" w:lineRule="auto"/>
        <w:contextualSpacing/>
        <w:rPr>
          <w:color w:val="000000"/>
          <w:sz w:val="22"/>
          <w:szCs w:val="22"/>
        </w:rPr>
      </w:pPr>
      <w:r>
        <w:rPr>
          <w:rFonts w:ascii="Trebuchet MS" w:eastAsia="Trebuchet MS" w:hAnsi="Trebuchet MS" w:cs="Trebuchet MS"/>
          <w:color w:val="000000"/>
          <w:sz w:val="22"/>
          <w:szCs w:val="22"/>
        </w:rPr>
        <w:t>sending personal data to an incorrect recipient;</w:t>
      </w:r>
    </w:p>
    <w:p w14:paraId="70B02585" w14:textId="77777777" w:rsidR="00DF0325" w:rsidRDefault="00027F09">
      <w:pPr>
        <w:numPr>
          <w:ilvl w:val="0"/>
          <w:numId w:val="4"/>
        </w:numPr>
        <w:pBdr>
          <w:top w:val="nil"/>
          <w:left w:val="nil"/>
          <w:bottom w:val="nil"/>
          <w:right w:val="nil"/>
          <w:between w:val="nil"/>
        </w:pBdr>
        <w:spacing w:line="360" w:lineRule="auto"/>
        <w:contextualSpacing/>
        <w:rPr>
          <w:color w:val="000000"/>
          <w:sz w:val="22"/>
          <w:szCs w:val="22"/>
        </w:rPr>
      </w:pPr>
      <w:r>
        <w:rPr>
          <w:rFonts w:ascii="Trebuchet MS" w:eastAsia="Trebuchet MS" w:hAnsi="Trebuchet MS" w:cs="Trebuchet MS"/>
          <w:color w:val="000000"/>
          <w:sz w:val="22"/>
          <w:szCs w:val="22"/>
        </w:rPr>
        <w:t>computing devices containing personal data being lost or stolen; </w:t>
      </w:r>
    </w:p>
    <w:p w14:paraId="309C5EEC" w14:textId="77777777" w:rsidR="00DF0325" w:rsidRDefault="00027F09">
      <w:pPr>
        <w:numPr>
          <w:ilvl w:val="0"/>
          <w:numId w:val="4"/>
        </w:numPr>
        <w:pBdr>
          <w:top w:val="nil"/>
          <w:left w:val="nil"/>
          <w:bottom w:val="nil"/>
          <w:right w:val="nil"/>
          <w:between w:val="nil"/>
        </w:pBdr>
        <w:spacing w:line="360" w:lineRule="auto"/>
        <w:contextualSpacing/>
        <w:rPr>
          <w:color w:val="000000"/>
          <w:sz w:val="22"/>
          <w:szCs w:val="22"/>
        </w:rPr>
      </w:pPr>
      <w:r>
        <w:rPr>
          <w:rFonts w:ascii="Trebuchet MS" w:eastAsia="Trebuchet MS" w:hAnsi="Trebuchet MS" w:cs="Trebuchet MS"/>
          <w:color w:val="000000"/>
          <w:sz w:val="22"/>
          <w:szCs w:val="22"/>
        </w:rPr>
        <w:t>alteration of personal data without permission; and</w:t>
      </w:r>
    </w:p>
    <w:p w14:paraId="79F24418" w14:textId="77777777" w:rsidR="00DF0325" w:rsidRDefault="00027F09">
      <w:pPr>
        <w:numPr>
          <w:ilvl w:val="0"/>
          <w:numId w:val="4"/>
        </w:numPr>
        <w:pBdr>
          <w:top w:val="nil"/>
          <w:left w:val="nil"/>
          <w:bottom w:val="nil"/>
          <w:right w:val="nil"/>
          <w:between w:val="nil"/>
        </w:pBdr>
        <w:spacing w:after="120" w:line="360" w:lineRule="auto"/>
        <w:contextualSpacing/>
        <w:rPr>
          <w:color w:val="000000"/>
          <w:sz w:val="22"/>
          <w:szCs w:val="22"/>
        </w:rPr>
      </w:pPr>
      <w:r>
        <w:rPr>
          <w:rFonts w:ascii="Trebuchet MS" w:eastAsia="Trebuchet MS" w:hAnsi="Trebuchet MS" w:cs="Trebuchet MS"/>
          <w:color w:val="000000"/>
          <w:sz w:val="22"/>
          <w:szCs w:val="22"/>
        </w:rPr>
        <w:t>loss of availability of personal data.</w:t>
      </w:r>
    </w:p>
    <w:p w14:paraId="5E2B4E0B" w14:textId="77777777" w:rsidR="00DF0325" w:rsidRDefault="00027F09">
      <w:pPr>
        <w:spacing w:before="120" w:after="120" w:line="360" w:lineRule="auto"/>
        <w:rPr>
          <w:rFonts w:ascii="Trebuchet MS" w:eastAsia="Trebuchet MS" w:hAnsi="Trebuchet MS" w:cs="Trebuchet MS"/>
          <w:b/>
          <w:sz w:val="22"/>
          <w:szCs w:val="22"/>
        </w:rPr>
      </w:pPr>
      <w:r>
        <w:rPr>
          <w:rFonts w:ascii="Trebuchet MS" w:eastAsia="Trebuchet MS" w:hAnsi="Trebuchet MS" w:cs="Trebuchet MS"/>
          <w:color w:val="000000"/>
          <w:sz w:val="22"/>
          <w:szCs w:val="22"/>
        </w:rPr>
        <w:t>Where there has been a personal data breach, the person responsible for monitoring the setting’s GDPR compliance will complete the Data Breach Reporting Form within 72 hours (appendix iiii.)</w:t>
      </w:r>
    </w:p>
    <w:p w14:paraId="3E5DE99E" w14:textId="77777777" w:rsidR="00DF0325" w:rsidRDefault="00027F09">
      <w:pPr>
        <w:pBdr>
          <w:top w:val="nil"/>
          <w:left w:val="nil"/>
          <w:bottom w:val="nil"/>
          <w:right w:val="nil"/>
          <w:between w:val="nil"/>
        </w:pBdr>
        <w:spacing w:after="120" w:line="360" w:lineRule="auto"/>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Legal framework</w:t>
      </w:r>
    </w:p>
    <w:p w14:paraId="33D82246" w14:textId="77777777" w:rsidR="00DF0325" w:rsidRDefault="00027F09">
      <w:pPr>
        <w:numPr>
          <w:ilvl w:val="0"/>
          <w:numId w:val="3"/>
        </w:numPr>
        <w:pBdr>
          <w:top w:val="nil"/>
          <w:left w:val="nil"/>
          <w:bottom w:val="nil"/>
          <w:right w:val="nil"/>
          <w:between w:val="nil"/>
        </w:pBdr>
        <w:spacing w:after="120" w:line="360" w:lineRule="auto"/>
        <w:jc w:val="both"/>
        <w:rPr>
          <w:sz w:val="22"/>
          <w:szCs w:val="22"/>
        </w:rPr>
      </w:pPr>
      <w:r>
        <w:rPr>
          <w:rFonts w:ascii="Trebuchet MS" w:eastAsia="Trebuchet MS" w:hAnsi="Trebuchet MS" w:cs="Trebuchet MS"/>
          <w:color w:val="000000"/>
          <w:sz w:val="22"/>
          <w:szCs w:val="22"/>
        </w:rPr>
        <w:t>The General Data Protection Regulation (2018)</w:t>
      </w:r>
    </w:p>
    <w:p w14:paraId="685176EC" w14:textId="77777777" w:rsidR="004459DB" w:rsidRPr="004459DB" w:rsidRDefault="00027F09" w:rsidP="004459DB">
      <w:pPr>
        <w:numPr>
          <w:ilvl w:val="0"/>
          <w:numId w:val="3"/>
        </w:numPr>
        <w:pBdr>
          <w:top w:val="single" w:sz="4" w:space="1" w:color="000000"/>
          <w:left w:val="nil"/>
          <w:bottom w:val="nil"/>
          <w:right w:val="nil"/>
          <w:between w:val="nil"/>
        </w:pBdr>
        <w:spacing w:after="120" w:line="360" w:lineRule="auto"/>
        <w:ind w:hanging="720"/>
        <w:jc w:val="both"/>
        <w:rPr>
          <w:rFonts w:ascii="Trebuchet MS" w:eastAsia="Trebuchet MS" w:hAnsi="Trebuchet MS" w:cs="Trebuchet MS"/>
          <w:color w:val="000000"/>
          <w:sz w:val="22"/>
          <w:szCs w:val="22"/>
        </w:rPr>
      </w:pPr>
      <w:r w:rsidRPr="004459DB">
        <w:rPr>
          <w:rFonts w:ascii="Trebuchet MS" w:eastAsia="Trebuchet MS" w:hAnsi="Trebuchet MS" w:cs="Trebuchet MS"/>
          <w:color w:val="000000"/>
          <w:sz w:val="22"/>
          <w:szCs w:val="22"/>
        </w:rPr>
        <w:t>Human Rights Act 1998</w:t>
      </w:r>
    </w:p>
    <w:p w14:paraId="426173F2"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24BF2605"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4268FDD2"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7A2A402A"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2889F83E"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71124E2C"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57ABCE1E" w14:textId="77777777" w:rsidR="004459DB" w:rsidRDefault="004459DB"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p>
    <w:p w14:paraId="0B264E50" w14:textId="664DF48E" w:rsidR="00DF0325" w:rsidRPr="004459DB" w:rsidRDefault="00027F09" w:rsidP="004459DB">
      <w:pPr>
        <w:pBdr>
          <w:top w:val="single" w:sz="4" w:space="1" w:color="000000"/>
          <w:left w:val="nil"/>
          <w:bottom w:val="nil"/>
          <w:right w:val="nil"/>
          <w:between w:val="nil"/>
        </w:pBdr>
        <w:spacing w:after="120" w:line="360" w:lineRule="auto"/>
        <w:ind w:left="-360"/>
        <w:jc w:val="both"/>
        <w:rPr>
          <w:rFonts w:ascii="Trebuchet MS" w:eastAsia="Trebuchet MS" w:hAnsi="Trebuchet MS" w:cs="Trebuchet MS"/>
          <w:color w:val="000000"/>
          <w:sz w:val="22"/>
          <w:szCs w:val="22"/>
        </w:rPr>
      </w:pPr>
      <w:r w:rsidRPr="004459DB">
        <w:rPr>
          <w:rFonts w:ascii="Trebuchet MS" w:eastAsia="Trebuchet MS" w:hAnsi="Trebuchet MS" w:cs="Trebuchet MS"/>
          <w:b/>
          <w:color w:val="000000"/>
          <w:sz w:val="22"/>
          <w:szCs w:val="22"/>
        </w:rPr>
        <w:t>Policy created:</w:t>
      </w:r>
      <w:r w:rsidRPr="004459DB">
        <w:rPr>
          <w:rFonts w:ascii="Trebuchet MS" w:eastAsia="Trebuchet MS" w:hAnsi="Trebuchet MS" w:cs="Trebuchet MS"/>
          <w:b/>
          <w:color w:val="000000"/>
          <w:sz w:val="22"/>
          <w:szCs w:val="22"/>
        </w:rPr>
        <w:tab/>
      </w:r>
      <w:r w:rsidRPr="004459DB">
        <w:rPr>
          <w:rFonts w:ascii="Trebuchet MS" w:eastAsia="Trebuchet MS" w:hAnsi="Trebuchet MS" w:cs="Trebuchet MS"/>
          <w:color w:val="000000"/>
          <w:sz w:val="22"/>
          <w:szCs w:val="22"/>
        </w:rPr>
        <w:t xml:space="preserve">May 2018 </w:t>
      </w:r>
      <w:r w:rsidRPr="004459DB">
        <w:rPr>
          <w:rFonts w:ascii="Trebuchet MS" w:eastAsia="Trebuchet MS" w:hAnsi="Trebuchet MS" w:cs="Trebuchet MS"/>
          <w:color w:val="000000"/>
          <w:sz w:val="22"/>
          <w:szCs w:val="22"/>
        </w:rPr>
        <w:tab/>
      </w:r>
      <w:r w:rsidRPr="004459DB">
        <w:rPr>
          <w:rFonts w:ascii="Trebuchet MS" w:eastAsia="Trebuchet MS" w:hAnsi="Trebuchet MS" w:cs="Trebuchet MS"/>
          <w:b/>
          <w:color w:val="000000"/>
          <w:sz w:val="22"/>
          <w:szCs w:val="22"/>
        </w:rPr>
        <w:t>by:</w:t>
      </w:r>
      <w:r w:rsidRPr="004459DB">
        <w:rPr>
          <w:rFonts w:ascii="Trebuchet MS" w:eastAsia="Trebuchet MS" w:hAnsi="Trebuchet MS" w:cs="Trebuchet MS"/>
          <w:b/>
          <w:color w:val="000000"/>
          <w:sz w:val="22"/>
          <w:szCs w:val="22"/>
        </w:rPr>
        <w:tab/>
      </w:r>
      <w:r w:rsidRPr="004459DB">
        <w:rPr>
          <w:rFonts w:ascii="Trebuchet MS" w:eastAsia="Trebuchet MS" w:hAnsi="Trebuchet MS" w:cs="Trebuchet MS"/>
          <w:color w:val="000000"/>
          <w:sz w:val="22"/>
          <w:szCs w:val="22"/>
        </w:rPr>
        <w:t>Michelle Josephs (Owner)</w:t>
      </w:r>
    </w:p>
    <w:p w14:paraId="579715D3" w14:textId="461081F4" w:rsidR="00DF0325" w:rsidRDefault="004459DB">
      <w:pPr>
        <w:pBdr>
          <w:top w:val="nil"/>
          <w:left w:val="nil"/>
          <w:bottom w:val="nil"/>
          <w:right w:val="nil"/>
          <w:between w:val="nil"/>
        </w:pBdr>
        <w:tabs>
          <w:tab w:val="left" w:pos="1770"/>
        </w:tabs>
        <w:spacing w:after="120" w:line="360" w:lineRule="auto"/>
        <w:ind w:hanging="72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w:t>
      </w:r>
      <w:r w:rsidR="00027F09">
        <w:rPr>
          <w:rFonts w:ascii="Trebuchet MS" w:eastAsia="Trebuchet MS" w:hAnsi="Trebuchet MS" w:cs="Trebuchet MS"/>
          <w:b/>
          <w:color w:val="000000"/>
          <w:sz w:val="22"/>
          <w:szCs w:val="22"/>
        </w:rPr>
        <w:t>Signed:</w:t>
      </w:r>
      <w:r w:rsidR="00027F09">
        <w:rPr>
          <w:rFonts w:ascii="Trebuchet MS" w:eastAsia="Trebuchet MS" w:hAnsi="Trebuchet MS" w:cs="Trebuchet MS"/>
          <w:b/>
          <w:color w:val="000000"/>
          <w:sz w:val="22"/>
          <w:szCs w:val="22"/>
        </w:rPr>
        <w:tab/>
      </w:r>
    </w:p>
    <w:p w14:paraId="5A2D136C" w14:textId="2BA0ADA2" w:rsidR="00DF0325" w:rsidRDefault="00027F09">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The policy will be reviewed </w:t>
      </w:r>
      <w:r>
        <w:rPr>
          <w:rFonts w:ascii="Trebuchet MS" w:eastAsia="Trebuchet MS" w:hAnsi="Trebuchet MS" w:cs="Trebuchet MS"/>
          <w:b/>
          <w:sz w:val="22"/>
          <w:szCs w:val="22"/>
        </w:rPr>
        <w:t>annually</w:t>
      </w:r>
      <w:r>
        <w:rPr>
          <w:rFonts w:ascii="Trebuchet MS" w:eastAsia="Trebuchet MS" w:hAnsi="Trebuchet MS" w:cs="Trebuchet MS"/>
          <w:sz w:val="22"/>
          <w:szCs w:val="22"/>
        </w:rPr>
        <w:t xml:space="preserve"> from the above date. Any policies which require changes (at or in between review dates) will be updated and communicated to all employees, parents and students/volunteers.</w:t>
      </w:r>
    </w:p>
    <w:p w14:paraId="4E31F0B3" w14:textId="1BF5B382" w:rsidR="00FE6EEC" w:rsidRDefault="00FE6EEC">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Reviewed </w:t>
      </w:r>
      <w:r w:rsidR="00EC070F">
        <w:rPr>
          <w:rFonts w:ascii="Trebuchet MS" w:eastAsia="Trebuchet MS" w:hAnsi="Trebuchet MS" w:cs="Trebuchet MS"/>
          <w:sz w:val="22"/>
          <w:szCs w:val="22"/>
        </w:rPr>
        <w:t>02</w:t>
      </w:r>
      <w:r w:rsidR="00EC070F" w:rsidRPr="00EC070F">
        <w:rPr>
          <w:rFonts w:ascii="Trebuchet MS" w:eastAsia="Trebuchet MS" w:hAnsi="Trebuchet MS" w:cs="Trebuchet MS"/>
          <w:sz w:val="22"/>
          <w:szCs w:val="22"/>
          <w:vertAlign w:val="superscript"/>
        </w:rPr>
        <w:t>nd</w:t>
      </w:r>
      <w:r w:rsidR="00EC070F">
        <w:rPr>
          <w:rFonts w:ascii="Trebuchet MS" w:eastAsia="Trebuchet MS" w:hAnsi="Trebuchet MS" w:cs="Trebuchet MS"/>
          <w:sz w:val="22"/>
          <w:szCs w:val="22"/>
        </w:rPr>
        <w:t xml:space="preserve"> September 2019</w:t>
      </w:r>
    </w:p>
    <w:p w14:paraId="0E4EF2ED" w14:textId="18F90850" w:rsidR="00DF0325" w:rsidRDefault="00EC070F" w:rsidP="004459DB">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Reviewed April 3</w:t>
      </w:r>
      <w:r w:rsidRPr="00EC070F">
        <w:rPr>
          <w:rFonts w:ascii="Trebuchet MS" w:eastAsia="Trebuchet MS" w:hAnsi="Trebuchet MS" w:cs="Trebuchet MS"/>
          <w:sz w:val="22"/>
          <w:szCs w:val="22"/>
          <w:vertAlign w:val="superscript"/>
        </w:rPr>
        <w:t>rd</w:t>
      </w:r>
      <w:r>
        <w:rPr>
          <w:rFonts w:ascii="Trebuchet MS" w:eastAsia="Trebuchet MS" w:hAnsi="Trebuchet MS" w:cs="Trebuchet MS"/>
          <w:sz w:val="22"/>
          <w:szCs w:val="22"/>
        </w:rPr>
        <w:t xml:space="preserve"> 2020</w:t>
      </w:r>
    </w:p>
    <w:p w14:paraId="24C0B564" w14:textId="22068470" w:rsidR="004459DB" w:rsidRDefault="004459DB" w:rsidP="004459DB">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Reviewed 23</w:t>
      </w:r>
      <w:r w:rsidRPr="004459DB">
        <w:rPr>
          <w:rFonts w:ascii="Trebuchet MS" w:eastAsia="Trebuchet MS" w:hAnsi="Trebuchet MS" w:cs="Trebuchet MS"/>
          <w:sz w:val="22"/>
          <w:szCs w:val="22"/>
          <w:vertAlign w:val="superscript"/>
        </w:rPr>
        <w:t>rd</w:t>
      </w:r>
      <w:r>
        <w:rPr>
          <w:rFonts w:ascii="Trebuchet MS" w:eastAsia="Trebuchet MS" w:hAnsi="Trebuchet MS" w:cs="Trebuchet MS"/>
          <w:sz w:val="22"/>
          <w:szCs w:val="22"/>
        </w:rPr>
        <w:t xml:space="preserve"> August 2021</w:t>
      </w:r>
    </w:p>
    <w:p w14:paraId="6F138EBB" w14:textId="0184F8B0" w:rsidR="00131F1F" w:rsidRPr="004459DB" w:rsidRDefault="00131F1F" w:rsidP="004459DB">
      <w:pPr>
        <w:spacing w:after="120"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Reviewed 13</w:t>
      </w:r>
      <w:r w:rsidRPr="00131F1F">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January 2022</w:t>
      </w:r>
    </w:p>
    <w:sectPr w:rsidR="00131F1F" w:rsidRPr="004459DB" w:rsidSect="0000176A">
      <w:pgSz w:w="11906" w:h="16838"/>
      <w:pgMar w:top="284"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557"/>
    <w:multiLevelType w:val="multilevel"/>
    <w:tmpl w:val="BF06D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461FA3"/>
    <w:multiLevelType w:val="multilevel"/>
    <w:tmpl w:val="F326B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3A1566"/>
    <w:multiLevelType w:val="multilevel"/>
    <w:tmpl w:val="5652F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A508B0"/>
    <w:multiLevelType w:val="multilevel"/>
    <w:tmpl w:val="D414A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A67285"/>
    <w:multiLevelType w:val="multilevel"/>
    <w:tmpl w:val="2E54CDD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25"/>
    <w:rsid w:val="0000176A"/>
    <w:rsid w:val="00027F09"/>
    <w:rsid w:val="00131F1F"/>
    <w:rsid w:val="004459DB"/>
    <w:rsid w:val="0046602D"/>
    <w:rsid w:val="00DF0325"/>
    <w:rsid w:val="00EC070F"/>
    <w:rsid w:val="00FE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CAA3"/>
  <w15:docId w15:val="{16571BF5-D818-4352-8E1D-1D5EDE4C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0D"/>
  </w:style>
  <w:style w:type="paragraph" w:styleId="Heading1">
    <w:name w:val="heading 1"/>
    <w:basedOn w:val="Normal"/>
    <w:next w:val="Normal"/>
    <w:link w:val="Heading1Char"/>
    <w:uiPriority w:val="9"/>
    <w:qFormat/>
    <w:rsid w:val="00E550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D5B0D"/>
    <w:pPr>
      <w:ind w:left="720"/>
      <w:contextualSpacing/>
    </w:pPr>
  </w:style>
  <w:style w:type="character" w:styleId="Strong">
    <w:name w:val="Strong"/>
    <w:uiPriority w:val="22"/>
    <w:qFormat/>
    <w:rsid w:val="00BD5B0D"/>
    <w:rPr>
      <w:rFonts w:cs="Times New Roman"/>
      <w:b/>
      <w:bCs/>
    </w:rPr>
  </w:style>
  <w:style w:type="paragraph" w:styleId="BodyText">
    <w:name w:val="Body Text"/>
    <w:basedOn w:val="Normal"/>
    <w:link w:val="BodyTextChar"/>
    <w:uiPriority w:val="99"/>
    <w:semiHidden/>
    <w:rsid w:val="00BD5B0D"/>
    <w:pPr>
      <w:spacing w:before="120" w:after="120"/>
    </w:pPr>
    <w:rPr>
      <w:rFonts w:ascii="Arial" w:hAnsi="Arial"/>
      <w:i/>
    </w:rPr>
  </w:style>
  <w:style w:type="character" w:customStyle="1" w:styleId="BodyTextChar">
    <w:name w:val="Body Text Char"/>
    <w:basedOn w:val="DefaultParagraphFont"/>
    <w:link w:val="BodyText"/>
    <w:uiPriority w:val="99"/>
    <w:semiHidden/>
    <w:rsid w:val="00BD5B0D"/>
    <w:rPr>
      <w:rFonts w:ascii="Arial" w:eastAsia="Times New Roman" w:hAnsi="Arial" w:cs="Times New Roman"/>
      <w:i/>
      <w:sz w:val="24"/>
      <w:szCs w:val="24"/>
      <w:lang w:eastAsia="en-GB"/>
    </w:rPr>
  </w:style>
  <w:style w:type="paragraph" w:styleId="NormalWeb">
    <w:name w:val="Normal (Web)"/>
    <w:basedOn w:val="Normal"/>
    <w:uiPriority w:val="99"/>
    <w:unhideWhenUsed/>
    <w:rsid w:val="00BD5B0D"/>
    <w:pPr>
      <w:spacing w:before="100" w:beforeAutospacing="1" w:after="100" w:afterAutospacing="1"/>
    </w:pPr>
  </w:style>
  <w:style w:type="paragraph" w:styleId="Header">
    <w:name w:val="header"/>
    <w:basedOn w:val="Normal"/>
    <w:link w:val="HeaderChar"/>
    <w:uiPriority w:val="99"/>
    <w:unhideWhenUsed/>
    <w:rsid w:val="00BD5B0D"/>
    <w:pPr>
      <w:tabs>
        <w:tab w:val="center" w:pos="4680"/>
        <w:tab w:val="right" w:pos="9360"/>
      </w:tabs>
    </w:pPr>
  </w:style>
  <w:style w:type="character" w:customStyle="1" w:styleId="HeaderChar">
    <w:name w:val="Header Char"/>
    <w:basedOn w:val="DefaultParagraphFont"/>
    <w:link w:val="Header"/>
    <w:uiPriority w:val="99"/>
    <w:rsid w:val="00BD5B0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5031"/>
    <w:rPr>
      <w:rFonts w:asciiTheme="majorHAnsi" w:eastAsiaTheme="majorEastAsia" w:hAnsiTheme="majorHAnsi" w:cstheme="majorBidi"/>
      <w:color w:val="2F5496" w:themeColor="accent1" w:themeShade="BF"/>
      <w:sz w:val="32"/>
      <w:szCs w:val="32"/>
      <w:lang w:eastAsia="en-GB"/>
    </w:rPr>
  </w:style>
  <w:style w:type="paragraph" w:styleId="BalloonText">
    <w:name w:val="Balloon Text"/>
    <w:basedOn w:val="Normal"/>
    <w:link w:val="BalloonTextChar"/>
    <w:uiPriority w:val="99"/>
    <w:semiHidden/>
    <w:unhideWhenUsed/>
    <w:rsid w:val="0071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66"/>
    <w:rPr>
      <w:rFonts w:ascii="Segoe UI" w:eastAsia="Times New Roman" w:hAnsi="Segoe UI" w:cs="Segoe UI"/>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C9E0B-0743-4825-B363-F306A3DE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48780E-A32E-4E70-B995-E10F67F6BB90}">
  <ds:schemaRefs>
    <ds:schemaRef ds:uri="http://schemas.microsoft.com/sharepoint/v3/contenttype/forms"/>
  </ds:schemaRefs>
</ds:datastoreItem>
</file>

<file path=customXml/itemProps3.xml><?xml version="1.0" encoding="utf-8"?>
<ds:datastoreItem xmlns:ds="http://schemas.openxmlformats.org/officeDocument/2006/customXml" ds:itemID="{C635014E-0355-4C3D-978D-7EF974EFF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Denmead Daycare</cp:lastModifiedBy>
  <cp:revision>3</cp:revision>
  <cp:lastPrinted>2021-10-06T10:25:00Z</cp:lastPrinted>
  <dcterms:created xsi:type="dcterms:W3CDTF">2021-10-06T10:26:00Z</dcterms:created>
  <dcterms:modified xsi:type="dcterms:W3CDTF">2022-01-13T12:12:00Z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